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" w:type="dxa"/>
        <w:tblLayout w:type="fixed"/>
        <w:tblCellMar>
          <w:left w:w="68" w:type="dxa"/>
        </w:tblCellMar>
        <w:tblLook w:val="0000" w:firstRow="0" w:lastRow="0" w:firstColumn="0" w:lastColumn="0" w:noHBand="0" w:noVBand="0"/>
      </w:tblPr>
      <w:tblGrid>
        <w:gridCol w:w="918"/>
        <w:gridCol w:w="1258"/>
        <w:gridCol w:w="251"/>
        <w:gridCol w:w="1939"/>
        <w:gridCol w:w="2066"/>
        <w:gridCol w:w="7"/>
        <w:gridCol w:w="2627"/>
      </w:tblGrid>
      <w:tr w:rsidR="00153E25" w:rsidRPr="00A906E6" w:rsidTr="00A30E00">
        <w:trPr>
          <w:trHeight w:val="707"/>
        </w:trPr>
        <w:tc>
          <w:tcPr>
            <w:tcW w:w="9066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napToGrid w:val="0"/>
              <w:spacing w:before="40" w:after="40" w:line="240" w:lineRule="auto"/>
              <w:ind w:left="78" w:hanging="78"/>
              <w:rPr>
                <w:b/>
              </w:rPr>
            </w:pPr>
            <w:bookmarkStart w:id="0" w:name="_GoBack"/>
            <w:r w:rsidRPr="00A906E6">
              <w:rPr>
                <w:rFonts w:eastAsia="Lucida Sans Unicode" w:cs="Tahoma"/>
                <w:b/>
                <w:bCs/>
                <w:spacing w:val="10"/>
                <w:lang w:eastAsia="hi-IN" w:bidi="hi-IN"/>
              </w:rPr>
              <w:t>Zakres świadczeń: leczenie zaburzeń nerwicowych dla dorosłych</w:t>
            </w:r>
          </w:p>
          <w:bookmarkEnd w:id="0"/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napToGrid w:val="0"/>
              <w:spacing w:before="40" w:after="40" w:line="240" w:lineRule="auto"/>
              <w:ind w:left="78" w:hanging="78"/>
              <w:rPr>
                <w:b/>
              </w:rPr>
            </w:pPr>
            <w:r w:rsidRPr="00A906E6">
              <w:rPr>
                <w:rFonts w:eastAsia="Lucida Sans Unicode" w:cs="Tahoma"/>
                <w:b/>
                <w:bCs/>
                <w:spacing w:val="10"/>
                <w:lang w:eastAsia="hi-IN" w:bidi="hi-IN"/>
              </w:rPr>
              <w:t>Nazwa komórki organizacyjnej: ODDZIAŁ LECZENIA ZABURZEŃ NERWICOWYCH</w:t>
            </w:r>
          </w:p>
        </w:tc>
      </w:tr>
      <w:tr w:rsidR="00153E25" w:rsidRPr="00A906E6" w:rsidTr="00A30E00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</w:tcPr>
          <w:p w:rsidR="00153E25" w:rsidRPr="00D8422B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/>
                <w:bCs/>
                <w:spacing w:val="10"/>
                <w:lang w:eastAsia="hi-IN" w:bidi="hi-IN"/>
              </w:rPr>
            </w:pPr>
            <w:r w:rsidRPr="00D8422B">
              <w:rPr>
                <w:rFonts w:eastAsia="Lucida Sans Unicode" w:cs="Tahoma"/>
                <w:b/>
                <w:bCs/>
                <w:spacing w:val="10"/>
                <w:lang w:eastAsia="hi-IN" w:bidi="hi-IN"/>
              </w:rPr>
              <w:t>Nazwa parametru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D8422B" w:rsidRDefault="00153E25" w:rsidP="00A30E00">
            <w:pPr>
              <w:widowControl w:val="0"/>
              <w:tabs>
                <w:tab w:val="left" w:pos="709"/>
              </w:tabs>
              <w:snapToGrid w:val="0"/>
              <w:spacing w:before="40" w:after="40" w:line="240" w:lineRule="auto"/>
              <w:jc w:val="center"/>
              <w:rPr>
                <w:rFonts w:eastAsia="Lucida Sans Unicode" w:cs="Tahoma"/>
                <w:b/>
                <w:bCs/>
                <w:spacing w:val="10"/>
                <w:lang w:eastAsia="hi-IN" w:bidi="hi-IN"/>
              </w:rPr>
            </w:pPr>
            <w:r w:rsidRPr="00D8422B">
              <w:rPr>
                <w:rFonts w:eastAsia="Lucida Sans Unicode" w:cs="Tahoma"/>
                <w:b/>
                <w:bCs/>
                <w:spacing w:val="10"/>
                <w:lang w:eastAsia="hi-IN" w:bidi="hi-IN"/>
              </w:rPr>
              <w:t>2015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D8422B" w:rsidRDefault="00153E25" w:rsidP="00A30E00">
            <w:pPr>
              <w:widowControl w:val="0"/>
              <w:tabs>
                <w:tab w:val="left" w:pos="709"/>
              </w:tabs>
              <w:snapToGrid w:val="0"/>
              <w:spacing w:before="40" w:after="40" w:line="240" w:lineRule="auto"/>
              <w:ind w:left="78" w:hanging="78"/>
              <w:jc w:val="center"/>
              <w:rPr>
                <w:rFonts w:eastAsia="Lucida Sans Unicode" w:cs="Tahoma"/>
                <w:b/>
                <w:bCs/>
                <w:spacing w:val="10"/>
                <w:lang w:eastAsia="hi-IN" w:bidi="hi-IN"/>
              </w:rPr>
            </w:pPr>
            <w:r w:rsidRPr="00D8422B">
              <w:rPr>
                <w:rFonts w:eastAsia="Lucida Sans Unicode" w:cs="Tahoma"/>
                <w:b/>
                <w:bCs/>
                <w:spacing w:val="10"/>
                <w:lang w:eastAsia="hi-IN" w:bidi="hi-IN"/>
              </w:rPr>
              <w:t>2016</w:t>
            </w:r>
          </w:p>
        </w:tc>
      </w:tr>
      <w:tr w:rsidR="00153E25" w:rsidRPr="00A906E6" w:rsidTr="00A30E00">
        <w:tc>
          <w:tcPr>
            <w:tcW w:w="918" w:type="dxa"/>
            <w:vMerge w:val="restart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ind w:left="113" w:right="113"/>
              <w:jc w:val="center"/>
              <w:rPr>
                <w:rFonts w:eastAsia="Lucida Sans Unicode" w:cs="Tahoma"/>
                <w:b/>
                <w:bCs/>
                <w:spacing w:val="10"/>
                <w:sz w:val="18"/>
                <w:szCs w:val="18"/>
                <w:lang w:eastAsia="hi-IN" w:bidi="hi-IN"/>
              </w:rPr>
            </w:pPr>
            <w:r w:rsidRPr="00A906E6">
              <w:rPr>
                <w:rFonts w:eastAsia="Lucida Sans Unicode" w:cs="Tahoma"/>
                <w:b/>
                <w:spacing w:val="10"/>
                <w:sz w:val="20"/>
                <w:szCs w:val="20"/>
                <w:lang w:eastAsia="hi-IN" w:bidi="hi-IN"/>
              </w:rPr>
              <w:t>Wskaźniki efektywności medycznej</w:t>
            </w:r>
          </w:p>
        </w:tc>
        <w:tc>
          <w:tcPr>
            <w:tcW w:w="3448" w:type="dxa"/>
            <w:gridSpan w:val="3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Średnia liczba łóżek</w:t>
            </w:r>
          </w:p>
        </w:tc>
        <w:tc>
          <w:tcPr>
            <w:tcW w:w="2073" w:type="dxa"/>
            <w:gridSpan w:val="2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160</w:t>
            </w:r>
          </w:p>
        </w:tc>
        <w:tc>
          <w:tcPr>
            <w:tcW w:w="2627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160</w:t>
            </w:r>
          </w:p>
        </w:tc>
      </w:tr>
      <w:tr w:rsidR="00153E25" w:rsidRPr="00A906E6" w:rsidTr="00A30E00"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Liczba osób leczonych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1 851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1 795</w:t>
            </w:r>
          </w:p>
        </w:tc>
      </w:tr>
      <w:tr w:rsidR="00153E25" w:rsidRPr="00A906E6" w:rsidTr="00A30E00"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Liczba osobodni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54 417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53 700</w:t>
            </w:r>
          </w:p>
        </w:tc>
      </w:tr>
      <w:tr w:rsidR="00153E25" w:rsidRPr="00A906E6" w:rsidTr="00A30E00"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Średnia długość pobytu w dniach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30,06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30,63</w:t>
            </w:r>
          </w:p>
        </w:tc>
      </w:tr>
      <w:tr w:rsidR="00153E25" w:rsidRPr="00A906E6" w:rsidTr="00A30E00"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% wykorzystania łóżek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100,43%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98,1</w:t>
            </w:r>
          </w:p>
        </w:tc>
      </w:tr>
      <w:tr w:rsidR="00153E25" w:rsidRPr="00A906E6" w:rsidTr="00A30E00">
        <w:trPr>
          <w:trHeight w:val="263"/>
        </w:trPr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Średni czas oczekiwania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przypadki stabilne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135</w:t>
            </w:r>
          </w:p>
        </w:tc>
        <w:tc>
          <w:tcPr>
            <w:tcW w:w="2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251</w:t>
            </w:r>
          </w:p>
        </w:tc>
      </w:tr>
      <w:tr w:rsidR="00153E25" w:rsidRPr="00A906E6" w:rsidTr="00A30E00">
        <w:trPr>
          <w:trHeight w:val="262"/>
        </w:trPr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przypadki pilne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2634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32</w:t>
            </w:r>
          </w:p>
        </w:tc>
      </w:tr>
      <w:tr w:rsidR="00153E25" w:rsidRPr="00A906E6" w:rsidTr="00A30E00">
        <w:tc>
          <w:tcPr>
            <w:tcW w:w="918" w:type="dxa"/>
            <w:vMerge w:val="restart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153E25" w:rsidRPr="00323C51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ind w:left="113" w:right="113"/>
              <w:jc w:val="center"/>
              <w:rPr>
                <w:rFonts w:eastAsia="Lucida Sans Unicode" w:cs="Tahoma"/>
                <w:b/>
                <w:bCs/>
                <w:spacing w:val="10"/>
                <w:sz w:val="18"/>
                <w:szCs w:val="18"/>
                <w:lang w:eastAsia="hi-IN" w:bidi="hi-IN"/>
              </w:rPr>
            </w:pPr>
            <w:r w:rsidRPr="00323C51">
              <w:rPr>
                <w:rFonts w:eastAsia="Lucida Sans Unicode" w:cs="Tahoma"/>
                <w:b/>
                <w:bCs/>
                <w:spacing w:val="10"/>
                <w:sz w:val="20"/>
                <w:szCs w:val="20"/>
                <w:lang w:eastAsia="hi-IN" w:bidi="hi-IN"/>
              </w:rPr>
              <w:t>Wskaźniki efektywności finansowej</w:t>
            </w:r>
          </w:p>
        </w:tc>
        <w:tc>
          <w:tcPr>
            <w:tcW w:w="3448" w:type="dxa"/>
            <w:gridSpan w:val="3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323C51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Koszty bezpośrednie</w:t>
            </w:r>
          </w:p>
        </w:tc>
        <w:tc>
          <w:tcPr>
            <w:tcW w:w="2073" w:type="dxa"/>
            <w:gridSpan w:val="2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4 097 620,37</w:t>
            </w:r>
          </w:p>
        </w:tc>
        <w:tc>
          <w:tcPr>
            <w:tcW w:w="2627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4 239 076,58</w:t>
            </w:r>
          </w:p>
        </w:tc>
      </w:tr>
      <w:tr w:rsidR="00153E25" w:rsidRPr="00A906E6" w:rsidTr="00A30E00"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Koszty pośrednie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1 302 204,25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1 296 927,74</w:t>
            </w:r>
          </w:p>
        </w:tc>
      </w:tr>
      <w:tr w:rsidR="00153E25" w:rsidRPr="00A906E6" w:rsidTr="00A30E00"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 xml:space="preserve">Koszty zarządu i </w:t>
            </w:r>
            <w:proofErr w:type="spellStart"/>
            <w:r w:rsidRPr="00A906E6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ogólnoadministracyjne</w:t>
            </w:r>
            <w:proofErr w:type="spellEnd"/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782 347,64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676 940,04</w:t>
            </w:r>
          </w:p>
        </w:tc>
      </w:tr>
      <w:tr w:rsidR="00153E25" w:rsidRPr="00A906E6" w:rsidTr="00A30E00"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Koszty ogółem, w tym: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6 182 172,26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6 212 944,36</w:t>
            </w:r>
          </w:p>
        </w:tc>
      </w:tr>
      <w:tr w:rsidR="00153E25" w:rsidRPr="00A906E6" w:rsidTr="00A30E00"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Koszty pracy z tytułu wynagrodzeń - suma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1 970 967,28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2 010 712,63</w:t>
            </w:r>
          </w:p>
        </w:tc>
      </w:tr>
      <w:tr w:rsidR="00153E25" w:rsidRPr="00A906E6" w:rsidTr="00A30E00"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Koszty pracy z tytułu umów cywilno-prawnych (kontrakty) - suma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850 041,20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968 870,63</w:t>
            </w:r>
          </w:p>
        </w:tc>
      </w:tr>
      <w:tr w:rsidR="00153E25" w:rsidRPr="00A906E6" w:rsidTr="00A30E00"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Przychody ogółem, w tym: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7 065 207,00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7 081 423,00</w:t>
            </w:r>
          </w:p>
        </w:tc>
      </w:tr>
      <w:tr w:rsidR="00153E25" w:rsidRPr="00A906E6" w:rsidTr="00A30E00"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Przychody z NFZ, w tym: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7 065 207,00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7 081 423,00</w:t>
            </w:r>
          </w:p>
        </w:tc>
      </w:tr>
      <w:tr w:rsidR="00153E25" w:rsidRPr="00A906E6" w:rsidTr="00A30E00"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 xml:space="preserve">nieopłacone </w:t>
            </w:r>
            <w:proofErr w:type="spellStart"/>
            <w:r w:rsidRPr="00A906E6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nadwykoniania</w:t>
            </w:r>
            <w:proofErr w:type="spellEnd"/>
            <w:r w:rsidRPr="00A906E6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 xml:space="preserve"> wg stanu na 31.12 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30 667,00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0,00</w:t>
            </w:r>
          </w:p>
        </w:tc>
      </w:tr>
      <w:tr w:rsidR="00153E25" w:rsidRPr="00A906E6" w:rsidTr="00A30E00"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 xml:space="preserve">nieopłacone </w:t>
            </w:r>
            <w:proofErr w:type="spellStart"/>
            <w:r w:rsidRPr="00A906E6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nadwykoniania</w:t>
            </w:r>
            <w:proofErr w:type="spellEnd"/>
            <w:r w:rsidRPr="00A906E6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 xml:space="preserve"> (na dzień sporządzenia raportu)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18 397,00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0,00</w:t>
            </w:r>
          </w:p>
        </w:tc>
      </w:tr>
      <w:tr w:rsidR="00153E25" w:rsidRPr="00A906E6" w:rsidTr="00A30E00"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 xml:space="preserve">Wynik finansowy (bez </w:t>
            </w:r>
            <w:proofErr w:type="spellStart"/>
            <w:r w:rsidRPr="00A906E6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nadwykonań</w:t>
            </w:r>
            <w:proofErr w:type="spellEnd"/>
            <w:r w:rsidRPr="00A906E6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)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883 034,74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868 478,64</w:t>
            </w:r>
          </w:p>
        </w:tc>
      </w:tr>
      <w:tr w:rsidR="00153E25" w:rsidRPr="00A906E6" w:rsidTr="00A30E00"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 xml:space="preserve">Wynik finansowy (z </w:t>
            </w:r>
            <w:proofErr w:type="spellStart"/>
            <w:r w:rsidRPr="00A906E6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nadwykonaniami</w:t>
            </w:r>
            <w:proofErr w:type="spellEnd"/>
            <w:r w:rsidRPr="00A906E6">
              <w:rPr>
                <w:rFonts w:eastAsia="Lucida Sans Unicode" w:cs="Tahoma"/>
                <w:bCs/>
                <w:spacing w:val="10"/>
                <w:sz w:val="18"/>
                <w:szCs w:val="18"/>
                <w:lang w:eastAsia="hi-IN" w:bidi="hi-IN"/>
              </w:rPr>
              <w:t>)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</w:tr>
      <w:tr w:rsidR="00153E25" w:rsidRPr="00A906E6" w:rsidTr="00A30E00">
        <w:tc>
          <w:tcPr>
            <w:tcW w:w="918" w:type="dxa"/>
            <w:vMerge w:val="restart"/>
            <w:tcBorders>
              <w:top w:val="doub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153E25" w:rsidRPr="00323C51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ind w:left="113" w:right="113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323C51">
              <w:rPr>
                <w:rFonts w:eastAsia="Lucida Sans Unicode" w:cs="Tahoma"/>
                <w:b/>
                <w:bCs/>
                <w:spacing w:val="10"/>
                <w:sz w:val="20"/>
                <w:szCs w:val="20"/>
                <w:lang w:eastAsia="hi-IN" w:bidi="hi-IN"/>
              </w:rPr>
              <w:t>Analiza zatrudnienia – wybrane informacje</w:t>
            </w:r>
          </w:p>
        </w:tc>
        <w:tc>
          <w:tcPr>
            <w:tcW w:w="1258" w:type="dxa"/>
            <w:vMerge w:val="restart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323C51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23C51">
              <w:rPr>
                <w:rFonts w:eastAsia="Times New Roman" w:cs="Arial"/>
                <w:sz w:val="18"/>
                <w:szCs w:val="18"/>
                <w:lang w:eastAsia="pl-PL"/>
              </w:rPr>
              <w:t>Lekarze (z rezydentami, bez stażystów)</w:t>
            </w:r>
          </w:p>
        </w:tc>
        <w:tc>
          <w:tcPr>
            <w:tcW w:w="2190" w:type="dxa"/>
            <w:gridSpan w:val="2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spacing w:after="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Umowa o pracę w osobach</w:t>
            </w:r>
          </w:p>
        </w:tc>
        <w:tc>
          <w:tcPr>
            <w:tcW w:w="2073" w:type="dxa"/>
            <w:gridSpan w:val="2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627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3</w:t>
            </w:r>
          </w:p>
        </w:tc>
      </w:tr>
      <w:tr w:rsidR="00153E25" w:rsidRPr="00A906E6" w:rsidTr="00A30E00">
        <w:tc>
          <w:tcPr>
            <w:tcW w:w="9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ind w:left="113" w:right="113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spacing w:after="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Umowa o pracę w etatach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3,4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3,00</w:t>
            </w:r>
          </w:p>
        </w:tc>
      </w:tr>
      <w:tr w:rsidR="00153E25" w:rsidRPr="00A906E6" w:rsidTr="00A30E00">
        <w:tc>
          <w:tcPr>
            <w:tcW w:w="9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ind w:left="113" w:right="113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spacing w:after="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Umowa cywilno-prawna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4</w:t>
            </w:r>
          </w:p>
        </w:tc>
      </w:tr>
      <w:tr w:rsidR="00153E25" w:rsidRPr="00A906E6" w:rsidTr="00A30E00">
        <w:tc>
          <w:tcPr>
            <w:tcW w:w="9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906E6">
              <w:rPr>
                <w:rFonts w:eastAsia="Times New Roman" w:cs="Arial"/>
                <w:sz w:val="18"/>
                <w:szCs w:val="18"/>
                <w:lang w:eastAsia="pl-PL"/>
              </w:rPr>
              <w:t>Pielęgniarki i położne</w:t>
            </w: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spacing w:after="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Umowa o pracę w osobach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17</w:t>
            </w:r>
          </w:p>
        </w:tc>
      </w:tr>
      <w:tr w:rsidR="00153E25" w:rsidRPr="00A906E6" w:rsidTr="00A30E00">
        <w:tc>
          <w:tcPr>
            <w:tcW w:w="9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spacing w:after="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Umowa o pracę w etatach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19,00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17,00</w:t>
            </w:r>
          </w:p>
        </w:tc>
      </w:tr>
      <w:tr w:rsidR="00153E25" w:rsidRPr="00A906E6" w:rsidTr="00A30E00">
        <w:tc>
          <w:tcPr>
            <w:tcW w:w="9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spacing w:after="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Umowa cywilno-prawna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2</w:t>
            </w:r>
          </w:p>
        </w:tc>
      </w:tr>
      <w:tr w:rsidR="00153E25" w:rsidRPr="00A906E6" w:rsidTr="00A30E00">
        <w:tc>
          <w:tcPr>
            <w:tcW w:w="9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Psycholodzy,psychoterapeuci</w:t>
            </w:r>
            <w:proofErr w:type="spellEnd"/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906E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Umowa o pracę w osobach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4</w:t>
            </w:r>
          </w:p>
        </w:tc>
      </w:tr>
      <w:tr w:rsidR="00153E25" w:rsidRPr="00A906E6" w:rsidTr="00A30E00">
        <w:tc>
          <w:tcPr>
            <w:tcW w:w="9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906E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Umowa o pracę w etatach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4,00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4,00</w:t>
            </w:r>
          </w:p>
        </w:tc>
      </w:tr>
      <w:tr w:rsidR="00153E25" w:rsidRPr="00A906E6" w:rsidTr="00A30E00">
        <w:tc>
          <w:tcPr>
            <w:tcW w:w="918" w:type="dxa"/>
            <w:vMerge/>
            <w:tcBorders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906E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Umowa cywilno-prawna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jc w:val="center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12</w:t>
            </w:r>
          </w:p>
        </w:tc>
      </w:tr>
      <w:tr w:rsidR="00153E25" w:rsidRPr="00A906E6" w:rsidTr="00A30E00">
        <w:trPr>
          <w:cantSplit/>
          <w:trHeight w:hRule="exact" w:val="1134"/>
        </w:trPr>
        <w:tc>
          <w:tcPr>
            <w:tcW w:w="918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153E25" w:rsidRPr="00323C51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ind w:left="113" w:right="113"/>
              <w:jc w:val="center"/>
              <w:rPr>
                <w:rFonts w:eastAsia="Lucida Sans Unicode" w:cs="Tahoma"/>
                <w:b/>
                <w:bCs/>
                <w:i/>
                <w:spacing w:val="10"/>
                <w:sz w:val="20"/>
                <w:szCs w:val="20"/>
                <w:lang w:eastAsia="hi-IN" w:bidi="hi-IN"/>
              </w:rPr>
            </w:pPr>
            <w:r w:rsidRPr="00323C51">
              <w:rPr>
                <w:rFonts w:eastAsia="Lucida Sans Unicode" w:cs="Tahoma"/>
                <w:b/>
                <w:bCs/>
                <w:spacing w:val="10"/>
                <w:sz w:val="20"/>
                <w:szCs w:val="20"/>
                <w:lang w:eastAsia="hi-IN" w:bidi="hi-IN"/>
              </w:rPr>
              <w:t>Ocena funkcjonowania</w:t>
            </w:r>
          </w:p>
        </w:tc>
        <w:tc>
          <w:tcPr>
            <w:tcW w:w="8148" w:type="dxa"/>
            <w:gridSpan w:val="6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Kontrakt na Oddział Leczenia Nerwic mimo niezmienności wartości osobodnia od kilku lat jest adekwatny do potrzeb. Dzięki takiej rentowności możemy inwestować w remonty łazienek, doposażenie pokoi pacjentów, wymianę mebli, łóżek , pościeli itp.</w:t>
            </w:r>
          </w:p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  <w:p w:rsidR="00153E25" w:rsidRPr="00A906E6" w:rsidRDefault="00153E25" w:rsidP="00A30E00">
            <w:pPr>
              <w:widowControl w:val="0"/>
              <w:tabs>
                <w:tab w:val="left" w:pos="709"/>
              </w:tabs>
              <w:spacing w:before="40" w:after="40" w:line="240" w:lineRule="auto"/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</w:tr>
    </w:tbl>
    <w:p w:rsidR="00D21D9F" w:rsidRDefault="00D21D9F"/>
    <w:sectPr w:rsidR="00D2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25"/>
    <w:rsid w:val="00153E25"/>
    <w:rsid w:val="00D2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7639F-ECF8-44E8-89D6-933B7D5A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</cp:revision>
  <dcterms:created xsi:type="dcterms:W3CDTF">2018-03-13T10:36:00Z</dcterms:created>
  <dcterms:modified xsi:type="dcterms:W3CDTF">2018-03-13T10:37:00Z</dcterms:modified>
</cp:coreProperties>
</file>